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267CE2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267CE2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267CE2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267CE2">
        <w:rPr>
          <w:rFonts w:ascii="Liberation Serif" w:hAnsi="Liberation Serif"/>
          <w:b/>
          <w:sz w:val="26"/>
          <w:szCs w:val="26"/>
        </w:rPr>
      </w:r>
      <w:r w:rsidRPr="00267CE2">
        <w:rPr>
          <w:rFonts w:ascii="Liberation Serif" w:hAnsi="Liberation Serif"/>
          <w:b/>
          <w:sz w:val="26"/>
          <w:szCs w:val="26"/>
        </w:rPr>
        <w:fldChar w:fldCharType="separate"/>
      </w:r>
      <w:r w:rsidRPr="00267CE2">
        <w:rPr>
          <w:rFonts w:ascii="Liberation Serif" w:hAnsi="Liberation Serif"/>
          <w:b/>
          <w:noProof/>
          <w:sz w:val="26"/>
          <w:szCs w:val="26"/>
        </w:rPr>
        <w:t>О мерах по предупреждению ландшафтных и торфяных пожаров</w:t>
      </w:r>
      <w:r w:rsidRPr="00267CE2">
        <w:rPr>
          <w:rFonts w:ascii="Liberation Serif" w:hAnsi="Liberation Serif"/>
          <w:b/>
          <w:noProof/>
          <w:sz w:val="26"/>
          <w:szCs w:val="26"/>
        </w:rPr>
        <w:br/>
        <w:t xml:space="preserve">в границах населенных пунктов, на землях которыми имеет право </w:t>
      </w:r>
      <w:r w:rsidRPr="00267CE2">
        <w:rPr>
          <w:rFonts w:ascii="Liberation Serif" w:hAnsi="Liberation Serif"/>
          <w:b/>
          <w:noProof/>
          <w:sz w:val="26"/>
          <w:szCs w:val="26"/>
        </w:rPr>
        <w:br/>
        <w:t>распоряжаться администрация Невьянского городского округа</w:t>
      </w:r>
      <w:r w:rsidRPr="00267CE2">
        <w:rPr>
          <w:rFonts w:ascii="Liberation Serif" w:hAnsi="Liberation Serif"/>
          <w:b/>
          <w:noProof/>
          <w:sz w:val="26"/>
          <w:szCs w:val="26"/>
        </w:rPr>
        <w:br/>
        <w:t>в пожароопасный период 2024 года</w:t>
      </w:r>
      <w:r w:rsidRPr="00267CE2">
        <w:rPr>
          <w:rFonts w:ascii="Liberation Serif" w:hAnsi="Liberation Serif"/>
          <w:b/>
          <w:noProof/>
          <w:sz w:val="26"/>
          <w:szCs w:val="26"/>
        </w:rPr>
        <w:br/>
      </w:r>
      <w:r w:rsidRPr="00267CE2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267CE2" w:rsidRDefault="00267CE2" w:rsidP="00267CE2">
      <w:pPr>
        <w:pStyle w:val="aa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Федеральным законом от 21 декабря 1994 года № 68-ФЗ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rFonts w:ascii="Liberation Serif" w:hAnsi="Liberation Serif" w:cs="Liberation Serif"/>
          <w:sz w:val="26"/>
          <w:szCs w:val="26"/>
        </w:rPr>
        <w:t>Федеральным законом от 21 декабря 1994 года № 69-ФЗ        «О пожарной безопасности», Федеральным законом от 22 юля 2028 года № 123-ФЗ «Технический регламент о требованиях пожарной безопасности», «Правилами п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ротивопожарного режима в Российской Федерации», утвержденными Постановлением Правительства Российской Федерации от 16 сентября 2020 года            N 1479, постановлением Правительства Российской Федерации от 22 декабря 2023 года N 2263 «Об утверждении уровней реагирования на ландшафтные (природные) пожары», </w:t>
      </w:r>
      <w:r>
        <w:rPr>
          <w:rFonts w:ascii="Liberation Serif" w:hAnsi="Liberation Serif" w:cs="Liberation Serif"/>
          <w:sz w:val="26"/>
          <w:szCs w:val="26"/>
        </w:rPr>
        <w:t xml:space="preserve">подпунктом 8 пункта 1 статьи 31 Устава Невьянского городского округа, в целях предупреждения ландшафтных  и торфяных пожаров, организации эффективной борьбы с ними в границах населённых пунктов, на землях которыми имеет право распоряжаться  администрация Невьянского городского округа в пожароопасный период 2024 года </w:t>
      </w:r>
    </w:p>
    <w:p w:rsidR="00267CE2" w:rsidRDefault="00267CE2" w:rsidP="00267CE2">
      <w:pPr>
        <w:pStyle w:val="aa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67CE2" w:rsidRDefault="00267CE2" w:rsidP="00267CE2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267CE2" w:rsidRDefault="00267CE2" w:rsidP="00267CE2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67CE2" w:rsidRDefault="00267CE2" w:rsidP="00267CE2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Утвердить план </w:t>
      </w:r>
      <w:r>
        <w:rPr>
          <w:rFonts w:ascii="Liberation Serif" w:hAnsi="Liberation Serif"/>
          <w:bCs/>
          <w:sz w:val="26"/>
          <w:szCs w:val="26"/>
        </w:rPr>
        <w:t xml:space="preserve">тушения ландшафтных и торфяных пожаров </w:t>
      </w:r>
      <w:r>
        <w:rPr>
          <w:rFonts w:ascii="Liberation Serif" w:hAnsi="Liberation Serif" w:cs="Liberation Serif"/>
          <w:sz w:val="26"/>
          <w:szCs w:val="26"/>
        </w:rPr>
        <w:t xml:space="preserve">в границах населённых пунктов, на землях которыми имеет право распоряжаться администрация Невьянского городского округа </w:t>
      </w:r>
      <w:r>
        <w:rPr>
          <w:rFonts w:ascii="Liberation Serif" w:hAnsi="Liberation Serif"/>
          <w:sz w:val="26"/>
          <w:szCs w:val="26"/>
        </w:rPr>
        <w:t>Свердловской области на период пожароопасного сезона 2024 года</w:t>
      </w:r>
      <w:r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(прилагается).</w:t>
      </w:r>
    </w:p>
    <w:p w:rsidR="00267CE2" w:rsidRDefault="005D1532" w:rsidP="00267CE2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267CE2">
        <w:rPr>
          <w:rFonts w:ascii="Liberation Serif" w:hAnsi="Liberation Serif"/>
          <w:sz w:val="26"/>
          <w:szCs w:val="26"/>
        </w:rPr>
        <w:t>. Начальникам управлений населенными пунктами администрации Невьянского городского округа:</w:t>
      </w:r>
    </w:p>
    <w:p w:rsidR="00267CE2" w:rsidRDefault="00267CE2" w:rsidP="00267CE2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 срок до 26 апреля 2024 года провести разъяснительную работу среди населения о необходимости соблюдения правил пожарной безопасности в населенных пунктах, в том числе в лесах;</w:t>
      </w:r>
    </w:p>
    <w:p w:rsidR="00267CE2" w:rsidRDefault="00267CE2" w:rsidP="00267CE2">
      <w:pPr>
        <w:ind w:firstLine="567"/>
        <w:jc w:val="both"/>
        <w:rPr>
          <w:rFonts w:ascii="Liberation Serif" w:hAnsi="Liberation Serif"/>
          <w:sz w:val="26"/>
          <w:szCs w:val="26"/>
          <w:lang w:eastAsia="zh-CN"/>
        </w:rPr>
      </w:pPr>
      <w:r>
        <w:rPr>
          <w:rFonts w:ascii="Liberation Serif" w:hAnsi="Liberation Serif"/>
          <w:sz w:val="26"/>
          <w:szCs w:val="26"/>
        </w:rPr>
        <w:t xml:space="preserve">2) </w:t>
      </w:r>
      <w:r>
        <w:rPr>
          <w:rFonts w:ascii="Liberation Serif" w:hAnsi="Liberation Serif"/>
          <w:sz w:val="26"/>
          <w:szCs w:val="26"/>
          <w:lang w:eastAsia="zh-CN"/>
        </w:rPr>
        <w:t>разместить на информационных стендах памятки, листовки и другие материалы</w:t>
      </w:r>
      <w:r>
        <w:rPr>
          <w:rFonts w:ascii="Liberation Serif" w:hAnsi="Liberation Serif"/>
          <w:sz w:val="26"/>
          <w:szCs w:val="26"/>
        </w:rPr>
        <w:t xml:space="preserve"> о необходимости соблюдения правил пожарной безопасности в населенных пунктах, в том числе в лесах</w:t>
      </w:r>
      <w:r>
        <w:rPr>
          <w:rFonts w:ascii="Liberation Serif" w:hAnsi="Liberation Serif"/>
          <w:sz w:val="26"/>
          <w:szCs w:val="26"/>
          <w:lang w:eastAsia="zh-CN"/>
        </w:rPr>
        <w:t>.</w:t>
      </w:r>
    </w:p>
    <w:p w:rsidR="00267CE2" w:rsidRDefault="005D1532" w:rsidP="00267CE2">
      <w:pPr>
        <w:pStyle w:val="aa"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zh-CN"/>
        </w:rPr>
        <w:t>3</w:t>
      </w:r>
      <w:r w:rsidR="00267CE2">
        <w:rPr>
          <w:rFonts w:ascii="Liberation Serif" w:hAnsi="Liberation Serif"/>
          <w:sz w:val="26"/>
          <w:szCs w:val="26"/>
          <w:lang w:eastAsia="zh-CN"/>
        </w:rPr>
        <w:t xml:space="preserve">. Рекомендовать </w:t>
      </w:r>
      <w:r w:rsidR="00267CE2">
        <w:rPr>
          <w:rFonts w:ascii="Liberation Serif" w:hAnsi="Liberation Serif" w:cs="Liberation Serif"/>
          <w:sz w:val="26"/>
          <w:szCs w:val="26"/>
        </w:rPr>
        <w:t>правообладателям земельных участков (собственникам земельных участков, землепользователи, землевладельцы и арендаторы земельных участков) сельскохозяйственного назначения:</w:t>
      </w:r>
      <w:r w:rsidR="00267CE2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</w:p>
    <w:p w:rsidR="00267CE2" w:rsidRDefault="00267CE2" w:rsidP="00267CE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1) в срок до 01 мая 2024 года обеспечить создание необходимого запаса средств пожаротушения в соответствии с утвержденными нормами, а также содержать указанные средства в готовности, обеспечивающей их немедленное использование;</w:t>
      </w:r>
    </w:p>
    <w:p w:rsidR="00267CE2" w:rsidRDefault="00267CE2" w:rsidP="00267CE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2)  организовать контроль за соблюдения требований пожарной безопасности;</w:t>
      </w:r>
    </w:p>
    <w:p w:rsidR="005D1532" w:rsidRPr="005D1532" w:rsidRDefault="00267CE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3) в срок до 01 апреля 2024 года на участках закрепленных территорий, обеспечить очистку от сухой травянистой растительности, пожнивных остатков,</w:t>
      </w:r>
      <w:r w:rsidR="005D1532" w:rsidRPr="005D1532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5D1532" w:rsidRPr="005D1532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валежника, порубочных остатков, мусора и других горючих материалов на полосе шириной не менее 10 метров от населенного пункта, отделить от леса противопожарной минерализованной полосой шириной не менее 1,4 метра.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D1532">
        <w:rPr>
          <w:rFonts w:ascii="Liberation Serif" w:eastAsia="Calibri" w:hAnsi="Liberation Serif"/>
          <w:sz w:val="26"/>
          <w:szCs w:val="26"/>
          <w:lang w:eastAsia="en-US"/>
        </w:rPr>
        <w:t>Противопожарные минерализованные полосы не должны препятствовать проезду к населенным пунктам и водоисточникам в целях пожаротушения;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D1532">
        <w:rPr>
          <w:rFonts w:ascii="Liberation Serif" w:eastAsia="Calibri" w:hAnsi="Liberation Serif"/>
          <w:sz w:val="26"/>
          <w:szCs w:val="26"/>
          <w:lang w:eastAsia="en-US"/>
        </w:rPr>
        <w:t>4) своевременно проводить сенокошения на сенокосах.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4</w:t>
      </w:r>
      <w:r w:rsidRPr="005D1532">
        <w:rPr>
          <w:rFonts w:ascii="Liberation Serif" w:eastAsia="Calibri" w:hAnsi="Liberation Serif"/>
          <w:sz w:val="26"/>
          <w:szCs w:val="26"/>
          <w:lang w:eastAsia="en-US"/>
        </w:rPr>
        <w:t>.  Рекомендовать председателям садоводческих некоммерческих товариществ: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D1532">
        <w:rPr>
          <w:rFonts w:ascii="Liberation Serif" w:eastAsia="Calibri" w:hAnsi="Liberation Serif"/>
          <w:sz w:val="26"/>
          <w:szCs w:val="26"/>
          <w:lang w:eastAsia="en-US"/>
        </w:rPr>
        <w:t>1) в срок до 27 апреля 2024 года провести практические мероприятия, обеспечивающие безопасность имеющихся строений от лесных пожаров, очистку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10 метров;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D1532">
        <w:rPr>
          <w:rFonts w:ascii="Liberation Serif" w:eastAsia="Calibri" w:hAnsi="Liberation Serif"/>
          <w:sz w:val="26"/>
          <w:szCs w:val="26"/>
          <w:lang w:eastAsia="en-US"/>
        </w:rPr>
        <w:t>2) в срок до 27 апреля 2024 года организовать проведение бесед на противопожарную тематику с членами садоводческих товариществ, а также размещение памяток, листовок и других материалов на информационных стендах.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5</w:t>
      </w:r>
      <w:r w:rsidRPr="005D1532">
        <w:rPr>
          <w:rFonts w:ascii="Liberation Serif" w:eastAsia="Calibri" w:hAnsi="Liberation Serif"/>
          <w:sz w:val="26"/>
          <w:szCs w:val="26"/>
          <w:lang w:eastAsia="en-US"/>
        </w:rPr>
        <w:t>. Рекомендовать начальнику МО МВД России «Невьянский» (С.А. Горбунову) в пожароопасный период на территории Невьянского городского округа принять участие в работе мобильных патрульно-контрольных групп для проведения патрулирования в наиболее опасных в пожарном отношении участках местности, принять меры по соблюдению жителями Невьянского городского округа ограничений, предусмотренных особым противопожарным режимом.</w:t>
      </w:r>
    </w:p>
    <w:p w:rsidR="005D1532" w:rsidRPr="005D1532" w:rsidRDefault="005D1532" w:rsidP="005D1532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Pr="005D1532">
        <w:rPr>
          <w:rFonts w:ascii="Liberation Serif" w:hAnsi="Liberation Serif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управления муниципальным имуществом А.В. Суркова. </w:t>
      </w:r>
    </w:p>
    <w:p w:rsidR="005D1532" w:rsidRPr="005D1532" w:rsidRDefault="005D1532" w:rsidP="005D1532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bidi="ru-RU"/>
        </w:rPr>
        <w:t>7</w:t>
      </w:r>
      <w:bookmarkStart w:id="3" w:name="_GoBack"/>
      <w:bookmarkEnd w:id="3"/>
      <w:r w:rsidRPr="005D1532">
        <w:rPr>
          <w:rFonts w:ascii="Liberation Serif" w:hAnsi="Liberation Serif"/>
          <w:sz w:val="26"/>
          <w:szCs w:val="26"/>
          <w:lang w:bidi="ru-RU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5D1532" w:rsidRDefault="00267CE2" w:rsidP="00267CE2">
            <w:pPr>
              <w:rPr>
                <w:rFonts w:ascii="Liberation Serif" w:hAnsi="Liberation Serif"/>
                <w:sz w:val="26"/>
                <w:szCs w:val="26"/>
              </w:rPr>
            </w:pPr>
            <w:r w:rsidRPr="005D1532">
              <w:rPr>
                <w:rFonts w:ascii="Liberation Serif" w:hAnsi="Liberation Serif"/>
                <w:sz w:val="26"/>
                <w:szCs w:val="26"/>
              </w:rPr>
              <w:t>Исполняющий обязанности главы Невьянского городского округа</w:t>
            </w:r>
            <w:r w:rsidR="00571F73" w:rsidRPr="005D153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6406" w:type="dxa"/>
          </w:tcPr>
          <w:p w:rsidR="00571F73" w:rsidRPr="005D1532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67CE2" w:rsidRPr="005D1532" w:rsidRDefault="00267CE2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67CE2" w:rsidRPr="005D1532" w:rsidRDefault="00267CE2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5D1532" w:rsidRDefault="00267CE2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5D1532">
              <w:rPr>
                <w:rFonts w:ascii="Liberation Serif" w:hAnsi="Liberation Serif"/>
                <w:sz w:val="26"/>
                <w:szCs w:val="26"/>
              </w:rPr>
              <w:t>А.В. Сурков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5D1532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37" w:rsidRDefault="002C7C37" w:rsidP="00485EDB">
      <w:r>
        <w:separator/>
      </w:r>
    </w:p>
  </w:endnote>
  <w:endnote w:type="continuationSeparator" w:id="0">
    <w:p w:rsidR="002C7C37" w:rsidRDefault="002C7C3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37" w:rsidRDefault="002C7C37" w:rsidP="00485EDB">
      <w:r>
        <w:separator/>
      </w:r>
    </w:p>
  </w:footnote>
  <w:footnote w:type="continuationSeparator" w:id="0">
    <w:p w:rsidR="002C7C37" w:rsidRDefault="002C7C3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C7C3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5D1532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67CE2"/>
    <w:rsid w:val="002C7C37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D1532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54D6A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94CE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7C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U. Zaikin</cp:lastModifiedBy>
  <cp:revision>6</cp:revision>
  <dcterms:created xsi:type="dcterms:W3CDTF">2023-10-30T10:25:00Z</dcterms:created>
  <dcterms:modified xsi:type="dcterms:W3CDTF">2024-03-28T08:46:00Z</dcterms:modified>
</cp:coreProperties>
</file>